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5C8A" w14:textId="6DE3839B" w:rsidR="007C0526" w:rsidRPr="007C0526" w:rsidRDefault="001D3133" w:rsidP="007C0526">
      <w:pPr>
        <w:pBdr>
          <w:bottom w:val="single" w:sz="6" w:space="8" w:color="auto"/>
        </w:pBdr>
        <w:rPr>
          <w:i/>
          <w:iCs/>
        </w:rPr>
      </w:pPr>
      <w:r w:rsidRPr="007C0526">
        <w:rPr>
          <w:i/>
          <w:iCs/>
        </w:rPr>
        <w:t xml:space="preserve">Please be advised that this document must not be used as a template to generate real DPAs. It only serves as an example template for use with the </w:t>
      </w:r>
      <w:proofErr w:type="spellStart"/>
      <w:r w:rsidRPr="007C0526">
        <w:rPr>
          <w:i/>
          <w:iCs/>
        </w:rPr>
        <w:t>Documentor</w:t>
      </w:r>
      <w:proofErr w:type="spellEnd"/>
      <w:r w:rsidRPr="007C0526">
        <w:rPr>
          <w:i/>
          <w:iCs/>
        </w:rPr>
        <w:t xml:space="preserve"> connector.</w:t>
      </w:r>
    </w:p>
    <w:p w14:paraId="2FE9D5E9" w14:textId="3DA6888E" w:rsidR="001D3133" w:rsidRDefault="001D3133" w:rsidP="007C0526"/>
    <w:p w14:paraId="7565A33E" w14:textId="6015BE17" w:rsidR="00127E21" w:rsidRDefault="00127E21" w:rsidP="007C0526">
      <w:r>
        <w:t>{{</w:t>
      </w:r>
      <w:r w:rsidR="00AB075F">
        <w:t>companyLogo</w:t>
      </w:r>
      <w:r>
        <w:t>}}</w:t>
      </w:r>
    </w:p>
    <w:p w14:paraId="5A16F2CA" w14:textId="77777777" w:rsidR="00127E21" w:rsidRPr="001D3133" w:rsidRDefault="00127E21" w:rsidP="007C0526"/>
    <w:p w14:paraId="38C00FFB" w14:textId="1FA06E06" w:rsidR="001D3133" w:rsidRPr="001D3133" w:rsidRDefault="001D3133" w:rsidP="007C0526">
      <w:r w:rsidRPr="001D3133">
        <w:t>This Data Processing Agreement (</w:t>
      </w:r>
      <w:r w:rsidRPr="007C0526">
        <w:t>“</w:t>
      </w:r>
      <w:r w:rsidRPr="001D3133">
        <w:rPr>
          <w:b/>
          <w:bCs/>
        </w:rPr>
        <w:t>Agreement</w:t>
      </w:r>
      <w:r w:rsidRPr="007C0526">
        <w:t>”</w:t>
      </w:r>
      <w:r w:rsidRPr="001D3133">
        <w:t>) is entered into on {{</w:t>
      </w:r>
      <w:proofErr w:type="spellStart"/>
      <w:r w:rsidRPr="001D3133">
        <w:t>effectiveDate</w:t>
      </w:r>
      <w:proofErr w:type="spellEnd"/>
      <w:r w:rsidRPr="001D3133">
        <w:t>}} (</w:t>
      </w:r>
      <w:r w:rsidRPr="007C0526">
        <w:t>“</w:t>
      </w:r>
      <w:r w:rsidRPr="001D3133">
        <w:rPr>
          <w:b/>
          <w:bCs/>
        </w:rPr>
        <w:t>Effective Date</w:t>
      </w:r>
      <w:r w:rsidRPr="007C0526">
        <w:t>”</w:t>
      </w:r>
      <w:r w:rsidRPr="001D3133">
        <w:t>) by and between:</w:t>
      </w:r>
    </w:p>
    <w:p w14:paraId="3B31DCD6" w14:textId="5C140473" w:rsidR="001D3133" w:rsidRPr="001D3133" w:rsidRDefault="001D3133" w:rsidP="007C0526">
      <w:r w:rsidRPr="001D3133">
        <w:rPr>
          <w:b/>
          <w:bCs/>
        </w:rPr>
        <w:t>{{</w:t>
      </w:r>
      <w:proofErr w:type="spellStart"/>
      <w:r w:rsidRPr="001D3133">
        <w:rPr>
          <w:b/>
          <w:bCs/>
        </w:rPr>
        <w:t>companyName</w:t>
      </w:r>
      <w:proofErr w:type="spellEnd"/>
      <w:r w:rsidRPr="001D3133">
        <w:rPr>
          <w:b/>
          <w:bCs/>
        </w:rPr>
        <w:t>}}</w:t>
      </w:r>
      <w:r w:rsidRPr="001D3133">
        <w:t>, a company incorporated and existing under the l</w:t>
      </w:r>
      <w:proofErr w:type="spellStart"/>
      <w:r w:rsidRPr="001D3133">
        <w:t>aws of {{companyJurisdiction</w:t>
      </w:r>
      <w:proofErr w:type="spellEnd"/>
      <w:r w:rsidRPr="001D3133">
        <w:t>}}, with its registered office a</w:t>
      </w:r>
      <w:proofErr w:type="spellStart"/>
      <w:r w:rsidRPr="001D3133">
        <w:t>t {{companyAddress</w:t>
      </w:r>
      <w:proofErr w:type="spellEnd"/>
      <w:r w:rsidRPr="001D3133">
        <w:t>}} (</w:t>
      </w:r>
      <w:r w:rsidRPr="007C0526">
        <w:t>“</w:t>
      </w:r>
      <w:r w:rsidRPr="001D3133">
        <w:rPr>
          <w:b/>
          <w:bCs/>
        </w:rPr>
        <w:t>Controller</w:t>
      </w:r>
      <w:r w:rsidRPr="007C0526">
        <w:t>”</w:t>
      </w:r>
      <w:r w:rsidRPr="001D3133">
        <w:t>),</w:t>
      </w:r>
    </w:p>
    <w:p w14:paraId="02F1D09E" w14:textId="77777777" w:rsidR="001D3133" w:rsidRPr="001D3133" w:rsidRDefault="001D3133" w:rsidP="007C0526">
      <w:r w:rsidRPr="001D3133">
        <w:t>and</w:t>
      </w:r>
    </w:p>
    <w:p w14:paraId="11DCECD5" w14:textId="7A234C58" w:rsidR="001D3133" w:rsidRPr="001D3133" w:rsidRDefault="001D3133" w:rsidP="007C0526">
      <w:r w:rsidRPr="001D3133">
        <w:rPr>
          <w:b/>
          <w:bCs/>
        </w:rPr>
        <w:t>{{</w:t>
      </w:r>
      <w:proofErr w:type="spellStart"/>
      <w:r w:rsidRPr="001D3133">
        <w:rPr>
          <w:b/>
          <w:bCs/>
        </w:rPr>
        <w:t>processorName</w:t>
      </w:r>
      <w:proofErr w:type="spellEnd"/>
      <w:r w:rsidRPr="001D3133">
        <w:rPr>
          <w:b/>
          <w:bCs/>
        </w:rPr>
        <w:t>}}</w:t>
      </w:r>
      <w:r w:rsidRPr="001D3133">
        <w:t>, a company incorporated and existing under the laws of {{</w:t>
      </w:r>
      <w:proofErr w:type="spellStart"/>
      <w:r w:rsidRPr="001D3133">
        <w:t>processorJurisdiction</w:t>
      </w:r>
      <w:proofErr w:type="spellEnd"/>
      <w:r w:rsidRPr="001D3133">
        <w:t>}}, with its registered office at {{</w:t>
      </w:r>
      <w:proofErr w:type="spellStart"/>
      <w:r w:rsidRPr="001D3133">
        <w:t>processorAddress</w:t>
      </w:r>
      <w:proofErr w:type="spellEnd"/>
      <w:r w:rsidRPr="001D3133">
        <w:t>}} (</w:t>
      </w:r>
      <w:r w:rsidRPr="007C0526">
        <w:t>“</w:t>
      </w:r>
      <w:r w:rsidRPr="001D3133">
        <w:rPr>
          <w:b/>
          <w:bCs/>
        </w:rPr>
        <w:t>Processor</w:t>
      </w:r>
      <w:r w:rsidRPr="007C0526">
        <w:t>”</w:t>
      </w:r>
      <w:r w:rsidRPr="001D3133">
        <w:t>).</w:t>
      </w:r>
    </w:p>
    <w:p w14:paraId="38595879" w14:textId="5CF1EA4F" w:rsidR="001D3133" w:rsidRDefault="001D3133" w:rsidP="007C0526">
      <w:r w:rsidRPr="007C0526">
        <w:t>t</w:t>
      </w:r>
      <w:r w:rsidRPr="001D3133">
        <w:t xml:space="preserve">ogether referred to as the </w:t>
      </w:r>
      <w:r w:rsidRPr="007C0526">
        <w:rPr>
          <w:b/>
          <w:bCs/>
        </w:rPr>
        <w:t>“</w:t>
      </w:r>
      <w:r w:rsidRPr="001D3133">
        <w:rPr>
          <w:b/>
          <w:bCs/>
        </w:rPr>
        <w:t>Parties</w:t>
      </w:r>
      <w:r w:rsidRPr="007C0526">
        <w:rPr>
          <w:b/>
          <w:bCs/>
        </w:rPr>
        <w:t>”</w:t>
      </w:r>
      <w:r w:rsidRPr="001D3133">
        <w:t>.</w:t>
      </w:r>
    </w:p>
    <w:p w14:paraId="4A6181F9" w14:textId="77777777" w:rsidR="007C0526" w:rsidRPr="001D3133" w:rsidRDefault="007C0526" w:rsidP="007C0526"/>
    <w:p w14:paraId="25A67D53" w14:textId="295B54B8" w:rsidR="001D3133" w:rsidRPr="001D3133" w:rsidRDefault="001D3133" w:rsidP="007C0526">
      <w:pPr>
        <w:pStyle w:val="Kop1"/>
      </w:pPr>
      <w:r w:rsidRPr="001D3133">
        <w:t>1. Subject matter and duration</w:t>
      </w:r>
    </w:p>
    <w:p w14:paraId="7F22A414" w14:textId="77777777" w:rsidR="001D3133" w:rsidRPr="001D3133" w:rsidRDefault="001D3133" w:rsidP="007C0526">
      <w:r w:rsidRPr="001D3133">
        <w:t>1.1 This Agreement sets out the terms and conditions under which Processor will process personal data on behalf of Controller in the context of {{</w:t>
      </w:r>
      <w:proofErr w:type="spellStart"/>
      <w:r w:rsidRPr="001D3133">
        <w:t>processingPurpose</w:t>
      </w:r>
      <w:proofErr w:type="spellEnd"/>
      <w:r w:rsidRPr="001D3133">
        <w:t>}}.</w:t>
      </w:r>
    </w:p>
    <w:p w14:paraId="463CCCCC" w14:textId="7839D01D" w:rsidR="007C0526" w:rsidRPr="001D3133" w:rsidRDefault="001D3133" w:rsidP="007C0526">
      <w:r w:rsidRPr="001D3133">
        <w:t>1.2 This Agreement shall commence on the Effective Date and continue for as long as Processor processes personal data on behalf of Controller.</w:t>
      </w:r>
    </w:p>
    <w:p w14:paraId="4CBBB228" w14:textId="5C50A332" w:rsidR="001D3133" w:rsidRPr="001D3133" w:rsidRDefault="001D3133" w:rsidP="007C0526">
      <w:pPr>
        <w:pStyle w:val="Kop1"/>
      </w:pPr>
      <w:r w:rsidRPr="001D3133">
        <w:t>2. Nature and purpose of processing</w:t>
      </w:r>
    </w:p>
    <w:p w14:paraId="57AE8165" w14:textId="3D4A6CB2" w:rsidR="001D3133" w:rsidRPr="001D3133" w:rsidRDefault="001D3133" w:rsidP="007C0526">
      <w:r w:rsidRPr="001D3133">
        <w:t>2.1 The nature of the processing includes {{</w:t>
      </w:r>
      <w:proofErr w:type="spellStart"/>
      <w:r w:rsidRPr="001D3133">
        <w:t>natureOfProcessing</w:t>
      </w:r>
      <w:proofErr w:type="spellEnd"/>
      <w:r w:rsidRPr="001D3133">
        <w:t>}}.</w:t>
      </w:r>
    </w:p>
    <w:p w14:paraId="5CA6E9DD" w14:textId="6B38B83C" w:rsidR="001D3133" w:rsidRPr="001D3133" w:rsidRDefault="001D3133" w:rsidP="007C0526">
      <w:r w:rsidRPr="001D3133">
        <w:t>2.2 The purpose of the processing is {{</w:t>
      </w:r>
      <w:proofErr w:type="spellStart"/>
      <w:r w:rsidRPr="001D3133">
        <w:t>processingPurpose</w:t>
      </w:r>
      <w:proofErr w:type="spellEnd"/>
      <w:r w:rsidRPr="001D3133">
        <w:t>}}.</w:t>
      </w:r>
    </w:p>
    <w:p w14:paraId="0A66ABE3" w14:textId="5EBCC449" w:rsidR="001D3133" w:rsidRPr="001D3133" w:rsidRDefault="001D3133" w:rsidP="007C0526">
      <w:r w:rsidRPr="001D3133">
        <w:t>2.3 The categories of data subjects include</w:t>
      </w:r>
      <w:r w:rsidR="007C0526">
        <w:t xml:space="preserve"> </w:t>
      </w:r>
      <w:r w:rsidRPr="001D3133">
        <w:t>{{</w:t>
      </w:r>
      <w:proofErr w:type="spellStart"/>
      <w:r w:rsidRPr="001D3133">
        <w:t>dataSubjects</w:t>
      </w:r>
      <w:proofErr w:type="spellEnd"/>
      <w:r w:rsidRPr="001D3133">
        <w:t>}}.</w:t>
      </w:r>
    </w:p>
    <w:p w14:paraId="6B36CEC2" w14:textId="5156564E" w:rsidR="001D3133" w:rsidRPr="001D3133" w:rsidRDefault="001D3133" w:rsidP="007C0526">
      <w:r w:rsidRPr="001D3133">
        <w:t>2.4 The types of personal data processed include {{</w:t>
      </w:r>
      <w:proofErr w:type="spellStart"/>
      <w:r w:rsidRPr="001D3133">
        <w:t>personalDataTypes</w:t>
      </w:r>
      <w:proofErr w:type="spellEnd"/>
      <w:r w:rsidRPr="001D3133">
        <w:t>}}.</w:t>
      </w:r>
    </w:p>
    <w:p w14:paraId="4009052C" w14:textId="4410AA1A" w:rsidR="001D3133" w:rsidRPr="001D3133" w:rsidRDefault="001D3133" w:rsidP="007C0526">
      <w:pPr>
        <w:pStyle w:val="Kop1"/>
      </w:pPr>
      <w:r w:rsidRPr="001D3133">
        <w:t>3. Obligations of the processor</w:t>
      </w:r>
    </w:p>
    <w:p w14:paraId="35183197" w14:textId="77777777" w:rsidR="001D3133" w:rsidRPr="001D3133" w:rsidRDefault="001D3133" w:rsidP="007C0526">
      <w:r w:rsidRPr="001D3133">
        <w:lastRenderedPageBreak/>
        <w:t>Processor agrees to:</w:t>
      </w:r>
    </w:p>
    <w:p w14:paraId="7C334811" w14:textId="77777777" w:rsidR="001D3133" w:rsidRPr="001D3133" w:rsidRDefault="001D3133" w:rsidP="007C0526">
      <w:r w:rsidRPr="001D3133">
        <w:t xml:space="preserve">a. Process the personal data only on documented instructions from Controller, including </w:t>
      </w:r>
      <w:proofErr w:type="gramStart"/>
      <w:r w:rsidRPr="001D3133">
        <w:t>with regard to</w:t>
      </w:r>
      <w:proofErr w:type="gramEnd"/>
      <w:r w:rsidRPr="001D3133">
        <w:t xml:space="preserve"> transfers of personal data to a third country, unless required to do so by Union or Member State </w:t>
      </w:r>
      <w:proofErr w:type="gramStart"/>
      <w:r w:rsidRPr="001D3133">
        <w:t>law;</w:t>
      </w:r>
      <w:proofErr w:type="gramEnd"/>
    </w:p>
    <w:p w14:paraId="5660A8B0" w14:textId="77777777" w:rsidR="001D3133" w:rsidRPr="001D3133" w:rsidRDefault="001D3133" w:rsidP="007C0526">
      <w:r w:rsidRPr="001D3133">
        <w:t xml:space="preserve">b. Ensure that persons authorised to process the personal data have committed themselves to </w:t>
      </w:r>
      <w:proofErr w:type="gramStart"/>
      <w:r w:rsidRPr="001D3133">
        <w:t>confidentiality;</w:t>
      </w:r>
      <w:proofErr w:type="gramEnd"/>
    </w:p>
    <w:p w14:paraId="55345329" w14:textId="77777777" w:rsidR="001D3133" w:rsidRPr="001D3133" w:rsidRDefault="001D3133" w:rsidP="007C0526">
      <w:r w:rsidRPr="001D3133">
        <w:t>c. Implement appropriate technical and organisational measures to ensure a level of security appropriate to the risk, including: {{</w:t>
      </w:r>
      <w:proofErr w:type="spellStart"/>
      <w:r w:rsidRPr="001D3133">
        <w:t>securityMeasures</w:t>
      </w:r>
      <w:proofErr w:type="spellEnd"/>
      <w:r w:rsidRPr="001D3133">
        <w:t>}</w:t>
      </w:r>
      <w:proofErr w:type="gramStart"/>
      <w:r w:rsidRPr="001D3133">
        <w:t>};</w:t>
      </w:r>
      <w:proofErr w:type="gramEnd"/>
    </w:p>
    <w:p w14:paraId="536722F6" w14:textId="77777777" w:rsidR="001D3133" w:rsidRPr="001D3133" w:rsidRDefault="001D3133" w:rsidP="007C0526">
      <w:r w:rsidRPr="001D3133">
        <w:t xml:space="preserve">d. Assist Controller in fulfilling obligations under Articles 32 to 36 of the </w:t>
      </w:r>
      <w:proofErr w:type="gramStart"/>
      <w:r w:rsidRPr="001D3133">
        <w:t>GDPR;</w:t>
      </w:r>
      <w:proofErr w:type="gramEnd"/>
    </w:p>
    <w:p w14:paraId="36B513C1" w14:textId="77777777" w:rsidR="001D3133" w:rsidRPr="001D3133" w:rsidRDefault="001D3133" w:rsidP="007C0526">
      <w:r w:rsidRPr="001D3133">
        <w:t xml:space="preserve">e. At Controller's choice, delete or return all personal data at the end of the provision of services, and delete existing copies unless otherwise required by </w:t>
      </w:r>
      <w:proofErr w:type="gramStart"/>
      <w:r w:rsidRPr="001D3133">
        <w:t>law;</w:t>
      </w:r>
      <w:proofErr w:type="gramEnd"/>
    </w:p>
    <w:p w14:paraId="099EA1FC" w14:textId="66973197" w:rsidR="001D3133" w:rsidRPr="001D3133" w:rsidRDefault="001D3133" w:rsidP="007C0526">
      <w:r w:rsidRPr="001D3133">
        <w:t>f. Make available to Controller all information necessary to demonstrate compliance with the obligations laid down in this Agreement and allow for audits, including inspections, conducted by Controller or another auditor mandated by Controller.</w:t>
      </w:r>
    </w:p>
    <w:p w14:paraId="77F9A087" w14:textId="0756F06C" w:rsidR="001D3133" w:rsidRPr="001D3133" w:rsidRDefault="001D3133" w:rsidP="007C0526">
      <w:pPr>
        <w:pStyle w:val="Kop1"/>
      </w:pPr>
      <w:r w:rsidRPr="001D3133">
        <w:t xml:space="preserve">4. </w:t>
      </w:r>
      <w:proofErr w:type="spellStart"/>
      <w:r w:rsidRPr="001D3133">
        <w:t>Subprocessors</w:t>
      </w:r>
      <w:proofErr w:type="spellEnd"/>
    </w:p>
    <w:p w14:paraId="3E904883" w14:textId="77777777" w:rsidR="001D3133" w:rsidRPr="001D3133" w:rsidRDefault="001D3133" w:rsidP="007C0526">
      <w:r w:rsidRPr="001D3133">
        <w:t xml:space="preserve">4.1 Processor shall not engage any </w:t>
      </w:r>
      <w:proofErr w:type="spellStart"/>
      <w:r w:rsidRPr="001D3133">
        <w:t>subprocessor</w:t>
      </w:r>
      <w:proofErr w:type="spellEnd"/>
      <w:r w:rsidRPr="001D3133">
        <w:t xml:space="preserve"> without the prior specific or general written authorisation of Controller.</w:t>
      </w:r>
    </w:p>
    <w:p w14:paraId="44AFADC1" w14:textId="5AB4D689" w:rsidR="001D3133" w:rsidRPr="001D3133" w:rsidRDefault="001D3133" w:rsidP="007C0526">
      <w:r w:rsidRPr="001D3133">
        <w:t xml:space="preserve">4.2 A current list of authorised </w:t>
      </w:r>
      <w:proofErr w:type="spellStart"/>
      <w:r w:rsidRPr="001D3133">
        <w:t>subprocessors</w:t>
      </w:r>
      <w:proofErr w:type="spellEnd"/>
      <w:r w:rsidRPr="001D3133">
        <w:t xml:space="preserve"> is available at: {{</w:t>
      </w:r>
      <w:proofErr w:type="spellStart"/>
      <w:r w:rsidRPr="001D3133">
        <w:t>subprocessorListURL</w:t>
      </w:r>
      <w:proofErr w:type="spellEnd"/>
      <w:r w:rsidRPr="001D3133">
        <w:t>}}</w:t>
      </w:r>
    </w:p>
    <w:p w14:paraId="34F55308" w14:textId="27E32098" w:rsidR="001D3133" w:rsidRPr="001D3133" w:rsidRDefault="001D3133" w:rsidP="007C0526">
      <w:pPr>
        <w:pStyle w:val="Kop1"/>
      </w:pPr>
      <w:r w:rsidRPr="001D3133">
        <w:t>5. Data transfer</w:t>
      </w:r>
    </w:p>
    <w:p w14:paraId="427F2416" w14:textId="2379232C" w:rsidR="001D3133" w:rsidRPr="001D3133" w:rsidRDefault="001D3133" w:rsidP="007C0526">
      <w:r w:rsidRPr="001D3133">
        <w:t>5.1 Processor shall not transfer personal data outside the European Economic Area (“EEA”) without ensuring appropriate safeguards in accordance with GDPR Chapter V.</w:t>
      </w:r>
    </w:p>
    <w:p w14:paraId="61DED5D1" w14:textId="541414FC" w:rsidR="001D3133" w:rsidRPr="001D3133" w:rsidRDefault="001D3133" w:rsidP="007C0526">
      <w:r w:rsidRPr="001D3133">
        <w:t>5.2 If personal data is transferred to a country without an adequacy decision, Processor shall ensure that Standard Contractual Clauses (SCCs) or an equivalent legal mechanism is in place.</w:t>
      </w:r>
    </w:p>
    <w:p w14:paraId="6C35FBF3" w14:textId="7CB06869" w:rsidR="001D3133" w:rsidRPr="001D3133" w:rsidRDefault="001D3133" w:rsidP="007C0526">
      <w:pPr>
        <w:pStyle w:val="Kop1"/>
      </w:pPr>
      <w:r w:rsidRPr="001D3133">
        <w:t>6. Liability</w:t>
      </w:r>
    </w:p>
    <w:p w14:paraId="5268C35C" w14:textId="655A4BA0" w:rsidR="001D3133" w:rsidRPr="001D3133" w:rsidRDefault="001D3133" w:rsidP="007C0526">
      <w:r w:rsidRPr="001D3133">
        <w:t>6.1 Each Party shall be liable for its respective breaches of this Agreement and applicable data protection laws.</w:t>
      </w:r>
    </w:p>
    <w:p w14:paraId="1E9465B2" w14:textId="004210BA" w:rsidR="001D3133" w:rsidRPr="001D3133" w:rsidRDefault="001D3133" w:rsidP="007C0526">
      <w:pPr>
        <w:pStyle w:val="Kop1"/>
      </w:pPr>
      <w:r w:rsidRPr="001D3133">
        <w:t>7. Termination</w:t>
      </w:r>
    </w:p>
    <w:p w14:paraId="3E0E1004" w14:textId="77777777" w:rsidR="001D3133" w:rsidRPr="001D3133" w:rsidRDefault="001D3133" w:rsidP="007C0526">
      <w:r w:rsidRPr="001D3133">
        <w:lastRenderedPageBreak/>
        <w:t>7.1 This Agreement shall automatically terminate upon the termination of the underlying service agreement between the Parties, unless otherwise agreed in writing.</w:t>
      </w:r>
    </w:p>
    <w:p w14:paraId="7416AC83" w14:textId="52496952" w:rsidR="001D3133" w:rsidRPr="001D3133" w:rsidRDefault="001D3133" w:rsidP="007C0526">
      <w:r w:rsidRPr="001D3133">
        <w:t>7.2 Upon termination, Processor shall, at Controller’s choice, return or securely delete all personal data.</w:t>
      </w:r>
    </w:p>
    <w:p w14:paraId="290AFE43" w14:textId="71348BB3" w:rsidR="001D3133" w:rsidRPr="007C0526" w:rsidRDefault="001D3133" w:rsidP="007C0526">
      <w:pPr>
        <w:pStyle w:val="Kop1"/>
      </w:pPr>
      <w:r w:rsidRPr="001D3133">
        <w:t>8. Miscellaneous</w:t>
      </w:r>
    </w:p>
    <w:p w14:paraId="25C92AA1" w14:textId="77777777" w:rsidR="001D3133" w:rsidRPr="001D3133" w:rsidRDefault="001D3133" w:rsidP="007C0526">
      <w:r w:rsidRPr="001D3133">
        <w:t>8.1 This Agreement is governed by and shall be construed in accordance with the laws of {{</w:t>
      </w:r>
      <w:proofErr w:type="spellStart"/>
      <w:r w:rsidRPr="001D3133">
        <w:t>governingLaw</w:t>
      </w:r>
      <w:proofErr w:type="spellEnd"/>
      <w:r w:rsidRPr="001D3133">
        <w:t>}}.</w:t>
      </w:r>
    </w:p>
    <w:p w14:paraId="3175379C" w14:textId="77777777" w:rsidR="001D3133" w:rsidRPr="001D3133" w:rsidRDefault="001D3133" w:rsidP="007C0526">
      <w:r w:rsidRPr="001D3133">
        <w:t>8.2 Any disputes arising from or related to this Agreement shall be resolved by the competent courts of {{jurisdiction}}.</w:t>
      </w:r>
    </w:p>
    <w:p w14:paraId="05A91B6E" w14:textId="77777777" w:rsidR="001D3133" w:rsidRPr="001D3133" w:rsidRDefault="001D3133" w:rsidP="007C0526"/>
    <w:p w14:paraId="4B78C1B2" w14:textId="19C4038D" w:rsidR="001D3133" w:rsidRPr="001D3133" w:rsidRDefault="001D3133" w:rsidP="007C0526">
      <w:r w:rsidRPr="001D3133">
        <w:t>IN WITNESS WHEREOF, the Parties have caused this Agreement to be executed by their duly authorised representatives: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1D3133" w:rsidRPr="001D3133" w14:paraId="4C7ACDFD" w14:textId="77777777" w:rsidTr="001D3133">
        <w:tc>
          <w:tcPr>
            <w:tcW w:w="4531" w:type="dxa"/>
          </w:tcPr>
          <w:p w14:paraId="40092A23" w14:textId="77777777" w:rsidR="001D3133" w:rsidRPr="007C0526" w:rsidRDefault="001D3133" w:rsidP="007C0526">
            <w:pPr>
              <w:rPr>
                <w:b/>
                <w:bCs/>
              </w:rPr>
            </w:pPr>
            <w:r w:rsidRPr="007C0526">
              <w:rPr>
                <w:b/>
                <w:bCs/>
              </w:rPr>
              <w:t>{{</w:t>
            </w:r>
            <w:proofErr w:type="spellStart"/>
            <w:r w:rsidRPr="007C0526">
              <w:rPr>
                <w:b/>
                <w:bCs/>
              </w:rPr>
              <w:t>companyName</w:t>
            </w:r>
            <w:proofErr w:type="spellEnd"/>
            <w:r w:rsidRPr="007C0526">
              <w:rPr>
                <w:b/>
                <w:bCs/>
              </w:rPr>
              <w:t>}}</w:t>
            </w:r>
          </w:p>
          <w:p w14:paraId="263B706A" w14:textId="77777777" w:rsidR="001D3133" w:rsidRPr="001D3133" w:rsidRDefault="001D3133" w:rsidP="007C0526">
            <w:r w:rsidRPr="001D3133">
              <w:br/>
              <w:t>By: ________________________</w:t>
            </w:r>
          </w:p>
          <w:p w14:paraId="578DEAC7" w14:textId="218FD718" w:rsidR="001D3133" w:rsidRPr="001D3133" w:rsidRDefault="001D3133" w:rsidP="007C0526">
            <w:pPr>
              <w:rPr>
                <w:b/>
                <w:bCs/>
              </w:rPr>
            </w:pPr>
            <w:r w:rsidRPr="001D3133">
              <w:br/>
              <w:t>Name: {{</w:t>
            </w:r>
            <w:proofErr w:type="spellStart"/>
            <w:r w:rsidRPr="001D3133">
              <w:t>controllerSignatoryName</w:t>
            </w:r>
            <w:proofErr w:type="spellEnd"/>
            <w:r w:rsidRPr="001D3133">
              <w:t>}}</w:t>
            </w:r>
            <w:r w:rsidRPr="001D3133">
              <w:br/>
              <w:t>Title: {{</w:t>
            </w:r>
            <w:proofErr w:type="spellStart"/>
            <w:r w:rsidRPr="001D3133">
              <w:t>controllerSignatoryTitle</w:t>
            </w:r>
            <w:proofErr w:type="spellEnd"/>
            <w:r w:rsidRPr="001D3133">
              <w:t>}}</w:t>
            </w:r>
            <w:r w:rsidRPr="001D3133">
              <w:br/>
              <w:t>Date: {{</w:t>
            </w:r>
            <w:proofErr w:type="spellStart"/>
            <w:r w:rsidRPr="001D3133">
              <w:t>controllerSignatoryDate</w:t>
            </w:r>
            <w:proofErr w:type="spellEnd"/>
            <w:r w:rsidRPr="001D3133">
              <w:t>}}</w:t>
            </w:r>
          </w:p>
          <w:p w14:paraId="46539996" w14:textId="77777777" w:rsidR="001D3133" w:rsidRPr="001D3133" w:rsidRDefault="001D3133" w:rsidP="007C0526"/>
        </w:tc>
        <w:tc>
          <w:tcPr>
            <w:tcW w:w="4531" w:type="dxa"/>
          </w:tcPr>
          <w:p w14:paraId="2D3DD5FB" w14:textId="77777777" w:rsidR="001D3133" w:rsidRPr="007C0526" w:rsidRDefault="001D3133" w:rsidP="007C0526">
            <w:pPr>
              <w:rPr>
                <w:b/>
                <w:bCs/>
              </w:rPr>
            </w:pPr>
            <w:r w:rsidRPr="007C0526">
              <w:rPr>
                <w:b/>
                <w:bCs/>
              </w:rPr>
              <w:t>{{</w:t>
            </w:r>
            <w:proofErr w:type="spellStart"/>
            <w:r w:rsidRPr="007C0526">
              <w:rPr>
                <w:b/>
                <w:bCs/>
              </w:rPr>
              <w:t>processorName</w:t>
            </w:r>
            <w:proofErr w:type="spellEnd"/>
            <w:r w:rsidRPr="007C0526">
              <w:rPr>
                <w:b/>
                <w:bCs/>
              </w:rPr>
              <w:t>}}</w:t>
            </w:r>
          </w:p>
          <w:p w14:paraId="10645528" w14:textId="77777777" w:rsidR="001D3133" w:rsidRPr="001D3133" w:rsidRDefault="001D3133" w:rsidP="007C0526">
            <w:r w:rsidRPr="001D3133">
              <w:br/>
              <w:t>By: ________________________</w:t>
            </w:r>
          </w:p>
          <w:p w14:paraId="1037EC8E" w14:textId="7423A211" w:rsidR="001D3133" w:rsidRPr="001D3133" w:rsidRDefault="001D3133" w:rsidP="007C0526">
            <w:r w:rsidRPr="001D3133">
              <w:br/>
              <w:t>Name: {{</w:t>
            </w:r>
            <w:proofErr w:type="spellStart"/>
            <w:r w:rsidRPr="001D3133">
              <w:t>processorSignatoryName</w:t>
            </w:r>
            <w:proofErr w:type="spellEnd"/>
            <w:r w:rsidRPr="001D3133">
              <w:t>}}</w:t>
            </w:r>
            <w:r w:rsidRPr="001D3133">
              <w:br/>
              <w:t>Title: {{</w:t>
            </w:r>
            <w:proofErr w:type="spellStart"/>
            <w:r w:rsidRPr="001D3133">
              <w:t>processorSignatoryTitle</w:t>
            </w:r>
            <w:proofErr w:type="spellEnd"/>
            <w:r w:rsidRPr="001D3133">
              <w:t>}}</w:t>
            </w:r>
            <w:r w:rsidRPr="001D3133">
              <w:br/>
              <w:t>Date: {{</w:t>
            </w:r>
            <w:proofErr w:type="spellStart"/>
            <w:r w:rsidRPr="001D3133">
              <w:t>processorSignatoryDate</w:t>
            </w:r>
            <w:proofErr w:type="spellEnd"/>
            <w:r w:rsidRPr="001D3133">
              <w:t>}}</w:t>
            </w:r>
          </w:p>
        </w:tc>
      </w:tr>
    </w:tbl>
    <w:p w14:paraId="7A74C954" w14:textId="77777777" w:rsidR="001D3133" w:rsidRPr="001D3133" w:rsidRDefault="001D3133" w:rsidP="007C0526"/>
    <w:sectPr w:rsidR="001D3133" w:rsidRPr="001D3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33"/>
    <w:rsid w:val="00127E21"/>
    <w:rsid w:val="001D3133"/>
    <w:rsid w:val="003C6031"/>
    <w:rsid w:val="00492AED"/>
    <w:rsid w:val="005512F7"/>
    <w:rsid w:val="007C0526"/>
    <w:rsid w:val="008650B2"/>
    <w:rsid w:val="00AB075F"/>
    <w:rsid w:val="00D170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D86F"/>
  <w15:chartTrackingRefBased/>
  <w15:docId w15:val="{37FB1405-A2CF-4240-AADC-0C991CAE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526"/>
    <w:pPr>
      <w:spacing w:before="100" w:beforeAutospacing="1" w:after="100" w:afterAutospacing="1" w:line="276" w:lineRule="auto"/>
    </w:pPr>
    <w:rPr>
      <w:rFonts w:ascii="Times New Roman" w:eastAsia="Times New Roman" w:hAnsi="Times New Roman" w:cs="Times New Roman"/>
      <w:kern w:val="0"/>
      <w:lang w:val="en-GB" w:eastAsia="nl-NL"/>
      <w14:ligatures w14:val="none"/>
    </w:rPr>
  </w:style>
  <w:style w:type="paragraph" w:styleId="Kop1">
    <w:name w:val="heading 1"/>
    <w:basedOn w:val="Standaard"/>
    <w:next w:val="Standaard"/>
    <w:link w:val="Kop1Char"/>
    <w:uiPriority w:val="9"/>
    <w:qFormat/>
    <w:rsid w:val="007C0526"/>
    <w:pPr>
      <w:spacing w:before="480" w:beforeAutospacing="0"/>
      <w:outlineLvl w:val="0"/>
    </w:pPr>
    <w:rPr>
      <w:b/>
      <w:bCs/>
      <w:sz w:val="27"/>
      <w:szCs w:val="27"/>
    </w:rPr>
  </w:style>
  <w:style w:type="paragraph" w:styleId="Kop2">
    <w:name w:val="heading 2"/>
    <w:basedOn w:val="Standaard"/>
    <w:next w:val="Standaard"/>
    <w:link w:val="Kop2Char"/>
    <w:uiPriority w:val="9"/>
    <w:semiHidden/>
    <w:unhideWhenUsed/>
    <w:qFormat/>
    <w:rsid w:val="001D3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D31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1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1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1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1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1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1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526"/>
    <w:rPr>
      <w:rFonts w:ascii="Times New Roman" w:eastAsia="Times New Roman" w:hAnsi="Times New Roman" w:cs="Times New Roman"/>
      <w:b/>
      <w:bCs/>
      <w:kern w:val="0"/>
      <w:sz w:val="27"/>
      <w:szCs w:val="27"/>
      <w:lang w:val="en-GB" w:eastAsia="nl-NL"/>
      <w14:ligatures w14:val="none"/>
    </w:rPr>
  </w:style>
  <w:style w:type="character" w:customStyle="1" w:styleId="Kop2Char">
    <w:name w:val="Kop 2 Char"/>
    <w:basedOn w:val="Standaardalinea-lettertype"/>
    <w:link w:val="Kop2"/>
    <w:uiPriority w:val="9"/>
    <w:semiHidden/>
    <w:rsid w:val="001D31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D31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1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1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1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1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1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133"/>
    <w:rPr>
      <w:rFonts w:eastAsiaTheme="majorEastAsia" w:cstheme="majorBidi"/>
      <w:color w:val="272727" w:themeColor="text1" w:themeTint="D8"/>
    </w:rPr>
  </w:style>
  <w:style w:type="paragraph" w:styleId="Titel">
    <w:name w:val="Title"/>
    <w:basedOn w:val="Standaard"/>
    <w:next w:val="Standaard"/>
    <w:link w:val="TitelChar"/>
    <w:uiPriority w:val="10"/>
    <w:qFormat/>
    <w:rsid w:val="001D31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1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13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1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13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D3133"/>
    <w:rPr>
      <w:i/>
      <w:iCs/>
      <w:color w:val="404040" w:themeColor="text1" w:themeTint="BF"/>
    </w:rPr>
  </w:style>
  <w:style w:type="paragraph" w:styleId="Lijstalinea">
    <w:name w:val="List Paragraph"/>
    <w:basedOn w:val="Standaard"/>
    <w:uiPriority w:val="34"/>
    <w:qFormat/>
    <w:rsid w:val="001D3133"/>
    <w:pPr>
      <w:ind w:left="720"/>
      <w:contextualSpacing/>
    </w:pPr>
  </w:style>
  <w:style w:type="character" w:styleId="Intensievebenadrukking">
    <w:name w:val="Intense Emphasis"/>
    <w:basedOn w:val="Standaardalinea-lettertype"/>
    <w:uiPriority w:val="21"/>
    <w:qFormat/>
    <w:rsid w:val="001D3133"/>
    <w:rPr>
      <w:i/>
      <w:iCs/>
      <w:color w:val="0F4761" w:themeColor="accent1" w:themeShade="BF"/>
    </w:rPr>
  </w:style>
  <w:style w:type="paragraph" w:styleId="Duidelijkcitaat">
    <w:name w:val="Intense Quote"/>
    <w:basedOn w:val="Standaard"/>
    <w:next w:val="Standaard"/>
    <w:link w:val="DuidelijkcitaatChar"/>
    <w:uiPriority w:val="30"/>
    <w:qFormat/>
    <w:rsid w:val="001D3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133"/>
    <w:rPr>
      <w:i/>
      <w:iCs/>
      <w:color w:val="0F4761" w:themeColor="accent1" w:themeShade="BF"/>
    </w:rPr>
  </w:style>
  <w:style w:type="character" w:styleId="Intensieveverwijzing">
    <w:name w:val="Intense Reference"/>
    <w:basedOn w:val="Standaardalinea-lettertype"/>
    <w:uiPriority w:val="32"/>
    <w:qFormat/>
    <w:rsid w:val="001D3133"/>
    <w:rPr>
      <w:b/>
      <w:bCs/>
      <w:smallCaps/>
      <w:color w:val="0F4761" w:themeColor="accent1" w:themeShade="BF"/>
      <w:spacing w:val="5"/>
    </w:rPr>
  </w:style>
  <w:style w:type="paragraph" w:styleId="Normaalweb">
    <w:name w:val="Normal (Web)"/>
    <w:basedOn w:val="Standaard"/>
    <w:uiPriority w:val="99"/>
    <w:semiHidden/>
    <w:unhideWhenUsed/>
    <w:rsid w:val="001D3133"/>
  </w:style>
  <w:style w:type="character" w:styleId="Zwaar">
    <w:name w:val="Strong"/>
    <w:basedOn w:val="Standaardalinea-lettertype"/>
    <w:uiPriority w:val="22"/>
    <w:qFormat/>
    <w:rsid w:val="001D3133"/>
    <w:rPr>
      <w:b/>
      <w:bCs/>
    </w:rPr>
  </w:style>
  <w:style w:type="table" w:styleId="Tabelraster">
    <w:name w:val="Table Grid"/>
    <w:basedOn w:val="Standaardtabel"/>
    <w:uiPriority w:val="39"/>
    <w:rsid w:val="001D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615</Words>
  <Characters>3385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Buren, Romein van</dc:creator>
  <cp:keywords/>
  <dc:description/>
  <cp:lastModifiedBy>Buren, Romein van</cp:lastModifiedBy>
  <cp:revision>6</cp:revision>
  <dcterms:created xsi:type="dcterms:W3CDTF">2025-05-14T09:54:00Z</dcterms:created>
  <dcterms:modified xsi:type="dcterms:W3CDTF">2025-05-14T10:06:00Z</dcterms:modified>
</cp:coreProperties>
</file>